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8A280" w14:textId="77777777" w:rsidR="004C19C4" w:rsidRPr="00C337D8" w:rsidRDefault="004C19C4" w:rsidP="004C19C4">
      <w:pPr>
        <w:pStyle w:val="Default"/>
        <w:ind w:firstLine="708"/>
        <w:jc w:val="both"/>
        <w:rPr>
          <w:rFonts w:ascii="Calibri" w:hAnsi="Calibri" w:cs="Calibri"/>
          <w:b/>
          <w:bCs/>
        </w:rPr>
      </w:pPr>
      <w:r w:rsidRPr="00C337D8">
        <w:rPr>
          <w:rFonts w:ascii="Calibri" w:hAnsi="Calibri" w:cs="Calibri"/>
          <w:b/>
          <w:bCs/>
        </w:rPr>
        <w:t>BIOGAL Dystrybucja Sp. z o.o.</w:t>
      </w:r>
    </w:p>
    <w:p w14:paraId="1E8ED06F" w14:textId="77777777" w:rsidR="004C19C4" w:rsidRPr="00C337D8" w:rsidRDefault="004C19C4" w:rsidP="004C19C4">
      <w:pPr>
        <w:pStyle w:val="Default"/>
        <w:ind w:firstLine="708"/>
        <w:jc w:val="both"/>
        <w:rPr>
          <w:rFonts w:ascii="Calibri" w:hAnsi="Calibri" w:cs="Calibri"/>
        </w:rPr>
      </w:pPr>
      <w:r w:rsidRPr="00C337D8">
        <w:rPr>
          <w:rFonts w:ascii="Calibri" w:hAnsi="Calibri" w:cs="Calibri"/>
        </w:rPr>
        <w:t>Boleszyn 7</w:t>
      </w:r>
    </w:p>
    <w:p w14:paraId="67DEF42F" w14:textId="77777777" w:rsidR="004C19C4" w:rsidRPr="00C337D8" w:rsidRDefault="004C19C4" w:rsidP="004C19C4">
      <w:pPr>
        <w:pStyle w:val="Default"/>
        <w:ind w:firstLine="708"/>
        <w:jc w:val="both"/>
        <w:rPr>
          <w:rFonts w:ascii="Calibri" w:hAnsi="Calibri" w:cs="Calibri"/>
        </w:rPr>
      </w:pPr>
      <w:r w:rsidRPr="00C337D8">
        <w:rPr>
          <w:rFonts w:ascii="Calibri" w:hAnsi="Calibri" w:cs="Calibri"/>
        </w:rPr>
        <w:t>13-308 Mroczno</w:t>
      </w:r>
    </w:p>
    <w:p w14:paraId="6A5F8296" w14:textId="54C6E030" w:rsidR="00136E49" w:rsidRDefault="004C19C4" w:rsidP="00136E49">
      <w:pPr>
        <w:spacing w:line="240" w:lineRule="auto"/>
      </w:pPr>
      <w:r>
        <w:rPr>
          <w:rFonts w:ascii="Calibri" w:hAnsi="Calibri" w:cs="Calibri"/>
        </w:rPr>
        <w:tab/>
      </w:r>
      <w:hyperlink r:id="rId8" w:history="1">
        <w:r w:rsidRPr="0040132D">
          <w:rPr>
            <w:rStyle w:val="Hipercze"/>
            <w:rFonts w:ascii="Calibri" w:hAnsi="Calibri" w:cs="Calibri"/>
          </w:rPr>
          <w:t>www.dystrybucja.biogal.pl</w:t>
        </w:r>
      </w:hyperlink>
    </w:p>
    <w:p w14:paraId="2320CBFE" w14:textId="77777777" w:rsidR="003C246F" w:rsidRDefault="003C246F" w:rsidP="00755951">
      <w:pPr>
        <w:jc w:val="center"/>
        <w:rPr>
          <w:rFonts w:ascii="Calibri" w:hAnsi="Calibri" w:cs="Calibri"/>
          <w:sz w:val="32"/>
          <w:szCs w:val="32"/>
        </w:rPr>
      </w:pPr>
    </w:p>
    <w:p w14:paraId="7E113A9A" w14:textId="617A1266" w:rsidR="00280A65" w:rsidRPr="00A84AA2" w:rsidRDefault="00755951" w:rsidP="00755951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A84AA2">
        <w:rPr>
          <w:rFonts w:ascii="Calibri" w:hAnsi="Calibri" w:cs="Calibri"/>
          <w:b/>
          <w:bCs/>
          <w:sz w:val="32"/>
          <w:szCs w:val="32"/>
        </w:rPr>
        <w:t>Kryteria obliczania przepustowości sieci elektroenergetycznej dostępnej dla nowych przyłączeń oraz zasady przyłączania w oparciu o elastyczne umowy o przyłączenie do sieci</w:t>
      </w:r>
    </w:p>
    <w:p w14:paraId="4D11D69D" w14:textId="71C0019D" w:rsidR="00755951" w:rsidRDefault="00755951" w:rsidP="00755951">
      <w:pPr>
        <w:jc w:val="center"/>
        <w:rPr>
          <w:rFonts w:ascii="Calibri" w:hAnsi="Calibri" w:cs="Calibri"/>
        </w:rPr>
      </w:pPr>
      <w:r w:rsidRPr="00755951">
        <w:rPr>
          <w:rFonts w:ascii="Calibri" w:hAnsi="Calibri" w:cs="Calibri"/>
        </w:rPr>
        <w:t>Podstawa prawna: art. 7 ust. 8l pkt 5 ustawy z dnia 10 kwietnia 1997 r. – Prawo energetyczne</w:t>
      </w:r>
    </w:p>
    <w:p w14:paraId="34905577" w14:textId="77777777" w:rsidR="00755951" w:rsidRPr="00A8692E" w:rsidRDefault="00755951" w:rsidP="00755951">
      <w:pPr>
        <w:jc w:val="center"/>
        <w:rPr>
          <w:rFonts w:ascii="Calibri" w:hAnsi="Calibri" w:cs="Calibri"/>
        </w:rPr>
      </w:pPr>
    </w:p>
    <w:p w14:paraId="2A47D108" w14:textId="23350367" w:rsidR="00CB0AFE" w:rsidRDefault="00A8692E" w:rsidP="00757AB1">
      <w:pPr>
        <w:spacing w:line="240" w:lineRule="auto"/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</w:pPr>
      <w:r w:rsidRPr="000000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Kryteria </w:t>
      </w:r>
      <w:r w:rsidR="00757AB1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t</w:t>
      </w:r>
      <w:r w:rsidRPr="000000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 xml:space="preserve">echniczne i </w:t>
      </w:r>
      <w:r w:rsidR="00757AB1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o</w:t>
      </w:r>
      <w:r w:rsidRPr="000000E7">
        <w:rPr>
          <w:rFonts w:ascii="Calibri" w:eastAsia="Times New Roman" w:hAnsi="Calibri" w:cs="Calibri"/>
          <w:b/>
          <w:bCs/>
          <w:kern w:val="0"/>
          <w:sz w:val="28"/>
          <w:szCs w:val="28"/>
          <w:lang w:eastAsia="pl-PL"/>
          <w14:ligatures w14:val="none"/>
        </w:rPr>
        <w:t>bliczeniowe:</w:t>
      </w:r>
    </w:p>
    <w:p w14:paraId="2871ABF4" w14:textId="11B77CE7" w:rsidR="00CB0AFE" w:rsidRPr="000000E7" w:rsidRDefault="00CB0AFE" w:rsidP="00757AB1">
      <w:pPr>
        <w:spacing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0000E7">
        <w:rPr>
          <w:rFonts w:ascii="Calibri" w:eastAsia="Times New Roman" w:hAnsi="Calibri" w:cs="Calibri"/>
          <w:kern w:val="0"/>
          <w:lang w:eastAsia="pl-PL"/>
          <w14:ligatures w14:val="none"/>
        </w:rPr>
        <w:t>Przy określaniu wartości dostępnej mocy przyłączeniowej dla nowych podmiotów ubiegających się o</w:t>
      </w:r>
      <w:r w:rsidR="00990CBE">
        <w:rPr>
          <w:rFonts w:ascii="Calibri" w:eastAsia="Times New Roman" w:hAnsi="Calibri" w:cs="Calibri"/>
          <w:kern w:val="0"/>
          <w:lang w:eastAsia="pl-PL"/>
          <w14:ligatures w14:val="none"/>
        </w:rPr>
        <w:t> </w:t>
      </w:r>
      <w:r w:rsidRPr="000000E7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przyłączenie do sieci o napięciu znamionowym wyższym niż 1 </w:t>
      </w:r>
      <w:proofErr w:type="spellStart"/>
      <w:r w:rsidRPr="000000E7">
        <w:rPr>
          <w:rFonts w:ascii="Calibri" w:eastAsia="Times New Roman" w:hAnsi="Calibri" w:cs="Calibri"/>
          <w:kern w:val="0"/>
          <w:lang w:eastAsia="pl-PL"/>
          <w14:ligatures w14:val="none"/>
        </w:rPr>
        <w:t>kV</w:t>
      </w:r>
      <w:proofErr w:type="spellEnd"/>
      <w:r w:rsidRPr="000000E7">
        <w:rPr>
          <w:rFonts w:ascii="Calibri" w:eastAsia="Times New Roman" w:hAnsi="Calibri" w:cs="Calibri"/>
          <w:kern w:val="0"/>
          <w:lang w:eastAsia="pl-PL"/>
          <w14:ligatures w14:val="none"/>
        </w:rPr>
        <w:t>, OSD uwzględnia w szczególności:</w:t>
      </w:r>
    </w:p>
    <w:p w14:paraId="1DA09567" w14:textId="45CBF15C" w:rsidR="00CB0AFE" w:rsidRPr="00CB0AFE" w:rsidRDefault="00CB0AFE" w:rsidP="00CB0AFE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CB0AF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Aktualne obciążenie sieci</w:t>
      </w:r>
      <w:r w:rsidR="009238F3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:</w:t>
      </w:r>
    </w:p>
    <w:p w14:paraId="46E68C0C" w14:textId="6588AECE" w:rsidR="00CB0AFE" w:rsidRPr="00CB0AFE" w:rsidRDefault="00CB0AFE" w:rsidP="00CB0AFE">
      <w:pPr>
        <w:spacing w:after="0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CB0AFE">
        <w:rPr>
          <w:rFonts w:ascii="Calibri" w:eastAsia="Times New Roman" w:hAnsi="Calibri" w:cs="Calibri"/>
          <w:kern w:val="0"/>
          <w:lang w:eastAsia="pl-PL"/>
          <w14:ligatures w14:val="none"/>
        </w:rPr>
        <w:t>Operator dokonuje analizy aktualne obciążenie elementów sieci (linii, stacji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e</w:t>
      </w:r>
      <w:r w:rsidRPr="00CB0AFE">
        <w:rPr>
          <w:rFonts w:ascii="Calibri" w:eastAsia="Times New Roman" w:hAnsi="Calibri" w:cs="Calibri"/>
          <w:kern w:val="0"/>
          <w:lang w:eastAsia="pl-PL"/>
          <w14:ligatures w14:val="none"/>
        </w:rPr>
        <w:t>lektroenergetycznych, transformatorów) w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CB0AFE">
        <w:rPr>
          <w:rFonts w:ascii="Calibri" w:eastAsia="Times New Roman" w:hAnsi="Calibri" w:cs="Calibri"/>
          <w:kern w:val="0"/>
          <w:lang w:eastAsia="pl-PL"/>
          <w14:ligatures w14:val="none"/>
        </w:rPr>
        <w:t>punkcie i w otoczeniu sieciowym planowanego przyłączenia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6FC17D7F" w14:textId="77777777" w:rsidR="00A8692E" w:rsidRPr="00A8692E" w:rsidRDefault="00A8692E" w:rsidP="00A8692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692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Dopuszczalne obciążenie długotrwałe: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42A1FD51" w14:textId="50F27BA7" w:rsidR="00A8692E" w:rsidRPr="00A8692E" w:rsidRDefault="00A8692E" w:rsidP="00A8692E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Operator </w:t>
      </w:r>
      <w:r w:rsidR="00CB0AF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dokonuje 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>sprawdz</w:t>
      </w:r>
      <w:r w:rsidR="00CB0AFE">
        <w:rPr>
          <w:rFonts w:ascii="Calibri" w:eastAsia="Times New Roman" w:hAnsi="Calibri" w:cs="Calibri"/>
          <w:kern w:val="0"/>
          <w:lang w:eastAsia="pl-PL"/>
          <w14:ligatures w14:val="none"/>
        </w:rPr>
        <w:t>enia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>, czy prąd płynący przez linie i transformatory po dodaniu nowego odbiorcy lub źródła nie przekroczy ich maksymalnych wartości granicznych</w:t>
      </w:r>
      <w:r w:rsidR="004E68EF"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24584B84" w14:textId="77777777" w:rsidR="00A8692E" w:rsidRDefault="00A8692E" w:rsidP="00A8692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692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Kryterium spadków i wahań napięcia: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5B7FD27B" w14:textId="655078F7" w:rsidR="00A8692E" w:rsidRPr="00A8692E" w:rsidRDefault="00A8692E" w:rsidP="004E68EF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>Operator o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>cen</w:t>
      </w:r>
      <w:r w:rsidR="00CB0AFE">
        <w:rPr>
          <w:rFonts w:ascii="Calibri" w:eastAsia="Times New Roman" w:hAnsi="Calibri" w:cs="Calibri"/>
          <w:kern w:val="0"/>
          <w:lang w:eastAsia="pl-PL"/>
          <w14:ligatures w14:val="none"/>
        </w:rPr>
        <w:t>ia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czy wahania i stały spadek napięcia w punktach przyłączenia mieszczą się w</w:t>
      </w:r>
      <w:r w:rsidR="00990CBE">
        <w:rPr>
          <w:rFonts w:ascii="Calibri" w:eastAsia="Times New Roman" w:hAnsi="Calibri" w:cs="Calibri"/>
          <w:kern w:val="0"/>
          <w:lang w:eastAsia="pl-PL"/>
          <w14:ligatures w14:val="none"/>
        </w:rPr>
        <w:t> 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normach prawnych (np. </w:t>
      </w:r>
      <w:r w:rsidR="00EC0821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w 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>standard</w:t>
      </w:r>
      <w:r w:rsidR="00EC0821">
        <w:rPr>
          <w:rFonts w:ascii="Calibri" w:eastAsia="Times New Roman" w:hAnsi="Calibri" w:cs="Calibri"/>
          <w:kern w:val="0"/>
          <w:lang w:eastAsia="pl-PL"/>
          <w14:ligatures w14:val="none"/>
        </w:rPr>
        <w:t>ach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jakościow</w:t>
      </w:r>
      <w:r w:rsidR="00EC0821">
        <w:rPr>
          <w:rFonts w:ascii="Calibri" w:eastAsia="Times New Roman" w:hAnsi="Calibri" w:cs="Calibri"/>
          <w:kern w:val="0"/>
          <w:lang w:eastAsia="pl-PL"/>
          <w14:ligatures w14:val="none"/>
        </w:rPr>
        <w:t>ych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dostaw</w:t>
      </w:r>
      <w:r w:rsidR="004E68EF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>energii)</w:t>
      </w:r>
      <w:r w:rsidR="004E68EF"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49DCA23B" w14:textId="77777777" w:rsidR="004E68EF" w:rsidRDefault="00A8692E" w:rsidP="00A8692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692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Zdolność zwarciowa sieci: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51BAB284" w14:textId="73ABB4AC" w:rsidR="00A8692E" w:rsidRPr="00A8692E" w:rsidRDefault="004E68EF" w:rsidP="00B85199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4E68EF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Operator </w:t>
      </w:r>
      <w:r w:rsidR="004F62C8">
        <w:rPr>
          <w:rFonts w:ascii="Calibri" w:eastAsia="Times New Roman" w:hAnsi="Calibri" w:cs="Calibri"/>
          <w:kern w:val="0"/>
          <w:lang w:eastAsia="pl-PL"/>
          <w14:ligatures w14:val="none"/>
        </w:rPr>
        <w:t>d</w:t>
      </w:r>
      <w:r w:rsidRPr="004E68EF">
        <w:rPr>
          <w:rFonts w:ascii="Calibri" w:eastAsia="Times New Roman" w:hAnsi="Calibri" w:cs="Calibri"/>
          <w:kern w:val="0"/>
          <w:lang w:eastAsia="pl-PL"/>
          <w14:ligatures w14:val="none"/>
        </w:rPr>
        <w:t>okon</w:t>
      </w:r>
      <w:r w:rsidR="004F62C8">
        <w:rPr>
          <w:rFonts w:ascii="Calibri" w:eastAsia="Times New Roman" w:hAnsi="Calibri" w:cs="Calibri"/>
          <w:kern w:val="0"/>
          <w:lang w:eastAsia="pl-PL"/>
          <w14:ligatures w14:val="none"/>
        </w:rPr>
        <w:t>uje</w:t>
      </w:r>
      <w:r w:rsidRPr="004E68EF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  <w:r w:rsidR="00B85199">
        <w:rPr>
          <w:rFonts w:ascii="Calibri" w:eastAsia="Times New Roman" w:hAnsi="Calibri" w:cs="Calibri"/>
          <w:kern w:val="0"/>
          <w:lang w:eastAsia="pl-PL"/>
          <w14:ligatures w14:val="none"/>
        </w:rPr>
        <w:t>a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>naliz</w:t>
      </w:r>
      <w:r w:rsidR="00B85199">
        <w:rPr>
          <w:rFonts w:ascii="Calibri" w:eastAsia="Times New Roman" w:hAnsi="Calibri" w:cs="Calibri"/>
          <w:kern w:val="0"/>
          <w:lang w:eastAsia="pl-PL"/>
          <w14:ligatures w14:val="none"/>
        </w:rPr>
        <w:t>y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>, czy poziomy prądów zwarciowych po przyłączeniu nowych obiektów nie przekroczą wytrzymałości dynamicznej i termicznej istniejących urządzeń elektroenergetycznych</w:t>
      </w:r>
      <w:r w:rsidR="00B85199"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72851DC8" w14:textId="77777777" w:rsidR="00B85199" w:rsidRPr="00B85199" w:rsidRDefault="00A8692E" w:rsidP="00A8692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692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Bilans mocy i rezerwy transformatorowe:</w:t>
      </w:r>
    </w:p>
    <w:p w14:paraId="025F5922" w14:textId="0BB5D52C" w:rsidR="00A8692E" w:rsidRPr="00A8692E" w:rsidRDefault="00B85199" w:rsidP="00990CBE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B85199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Operator </w:t>
      </w:r>
      <w:r w:rsidR="00CB0AFE">
        <w:rPr>
          <w:rFonts w:ascii="Calibri" w:eastAsia="Times New Roman" w:hAnsi="Calibri" w:cs="Calibri"/>
          <w:kern w:val="0"/>
          <w:lang w:eastAsia="pl-PL"/>
          <w14:ligatures w14:val="none"/>
        </w:rPr>
        <w:t>uwzględnia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woln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moc</w:t>
      </w:r>
      <w:r w:rsidR="00CB0AFE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w stacjach elektroenergetycznych (np. GPZ – Głównych Punktach Zasilających) w stanie normalnym oraz awaryjnym</w:t>
      </w:r>
      <w:r w:rsidR="00531693"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56F5743C" w14:textId="77777777" w:rsidR="00531693" w:rsidRDefault="00A8692E" w:rsidP="00A8692E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A8692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Współczynniki jednoczesności i profil pracy:</w:t>
      </w:r>
      <w:r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</w:t>
      </w:r>
    </w:p>
    <w:p w14:paraId="1EEB2566" w14:textId="3FCE7CF5" w:rsidR="00A8692E" w:rsidRDefault="00531693" w:rsidP="00990CBE">
      <w:pPr>
        <w:spacing w:after="0" w:line="240" w:lineRule="auto"/>
        <w:ind w:left="720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Operator 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>stos</w:t>
      </w:r>
      <w:r w:rsidR="004F62C8">
        <w:rPr>
          <w:rFonts w:ascii="Calibri" w:eastAsia="Times New Roman" w:hAnsi="Calibri" w:cs="Calibri"/>
          <w:kern w:val="0"/>
          <w:lang w:eastAsia="pl-PL"/>
          <w14:ligatures w14:val="none"/>
        </w:rPr>
        <w:t>uje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model</w:t>
      </w:r>
      <w:r w:rsidR="00102F32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statystyczn</w:t>
      </w:r>
      <w:r w:rsidR="00102F32">
        <w:rPr>
          <w:rFonts w:ascii="Calibri" w:eastAsia="Times New Roman" w:hAnsi="Calibri" w:cs="Calibri"/>
          <w:kern w:val="0"/>
          <w:lang w:eastAsia="pl-PL"/>
          <w14:ligatures w14:val="none"/>
        </w:rPr>
        <w:t>e</w:t>
      </w:r>
      <w:r w:rsidR="00A8692E" w:rsidRPr="00A8692E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 dla odbiorców lub źródeł OZE określających realne wykorzystanie mocy w czasie</w:t>
      </w:r>
      <w:r w:rsidR="009238F3"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5D66C35E" w14:textId="5AE57231" w:rsidR="00CB0AFE" w:rsidRDefault="00CB0AFE" w:rsidP="00CB0AFE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R</w:t>
      </w:r>
      <w:r w:rsidRPr="00CB0AF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ozbudow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</w:t>
      </w:r>
      <w:r w:rsidRPr="00CB0AF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oraz modernizacj</w:t>
      </w:r>
      <w:r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a</w:t>
      </w:r>
      <w:r w:rsidRPr="00CB0AFE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 xml:space="preserve"> sieci dystrybucyjnej</w:t>
      </w:r>
    </w:p>
    <w:p w14:paraId="3CEA2667" w14:textId="00F40C34" w:rsidR="004F62C8" w:rsidRPr="004F62C8" w:rsidRDefault="004F62C8" w:rsidP="00990CBE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Operator uwzględnia planowaną i będącą w toku rozbudowę oraz modernizację sieci dystrybucyjnej, wynikającą z aktualnego planu rozwoju OSD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243F17CF" w14:textId="634E16C2" w:rsidR="000000E7" w:rsidRDefault="000000E7" w:rsidP="00CB0AFE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000E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parametry techniczne zgłaszanej instalacji, urządzenia lub sieci</w:t>
      </w:r>
      <w:r w:rsidR="009238F3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:</w:t>
      </w:r>
    </w:p>
    <w:p w14:paraId="56BBAC84" w14:textId="14AE620B" w:rsidR="004F62C8" w:rsidRPr="004F62C8" w:rsidRDefault="004F62C8" w:rsidP="004F62C8">
      <w:pPr>
        <w:spacing w:after="0" w:line="240" w:lineRule="auto"/>
        <w:ind w:left="708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Operator bierze pod uwagę parametry techniczne zgłaszanej instalacji, urządzenia lub sieci (moc, rodzaj źródła/odbioru, charakterystyka pracy) oraz ich wpływ na parametry jakościowe energii elektrycznej i stabilność pracy sieci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;</w:t>
      </w:r>
    </w:p>
    <w:p w14:paraId="552CCB26" w14:textId="72A94878" w:rsidR="000000E7" w:rsidRDefault="000000E7" w:rsidP="00CB0AFE">
      <w:pPr>
        <w:pStyle w:val="Akapitzlist"/>
        <w:numPr>
          <w:ilvl w:val="0"/>
          <w:numId w:val="2"/>
        </w:num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0000E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ograniczenia wynikające z Instrukcji Ruchu i Eksploatacji Sieci Dystrybucyjnej (</w:t>
      </w:r>
      <w:proofErr w:type="spellStart"/>
      <w:r w:rsidRPr="000000E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IRiESD</w:t>
      </w:r>
      <w:proofErr w:type="spellEnd"/>
      <w:r w:rsidRPr="000000E7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)</w:t>
      </w:r>
      <w:r w:rsidR="009238F3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:</w:t>
      </w:r>
    </w:p>
    <w:p w14:paraId="56B0E24E" w14:textId="64EA899E" w:rsidR="004F62C8" w:rsidRPr="004F62C8" w:rsidRDefault="004F62C8" w:rsidP="004F62C8">
      <w:pPr>
        <w:pStyle w:val="Akapitzlist"/>
        <w:spacing w:after="0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Operator uwzględnia ograniczenia wynikające z Instrukcji Ruchu i Eksploatacji Sieci Dystrybucyjnej (</w:t>
      </w:r>
      <w:proofErr w:type="spellStart"/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IRiESD</w:t>
      </w:r>
      <w:proofErr w:type="spellEnd"/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 xml:space="preserve">) oraz obowiązujących kodeksów sieci UE (NC </w:t>
      </w:r>
      <w:proofErr w:type="spellStart"/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RfG</w:t>
      </w:r>
      <w:proofErr w:type="spellEnd"/>
      <w:r w:rsidRPr="004F62C8">
        <w:rPr>
          <w:rFonts w:ascii="Calibri" w:eastAsia="Times New Roman" w:hAnsi="Calibri" w:cs="Calibri"/>
          <w:kern w:val="0"/>
          <w:lang w:eastAsia="pl-PL"/>
          <w14:ligatures w14:val="none"/>
        </w:rPr>
        <w:t>, NC DC, NC HVDC)</w:t>
      </w:r>
      <w:r>
        <w:rPr>
          <w:rFonts w:ascii="Calibri" w:eastAsia="Times New Roman" w:hAnsi="Calibri" w:cs="Calibri"/>
          <w:kern w:val="0"/>
          <w:lang w:eastAsia="pl-PL"/>
          <w14:ligatures w14:val="none"/>
        </w:rPr>
        <w:t>.</w:t>
      </w:r>
    </w:p>
    <w:p w14:paraId="5CB49746" w14:textId="77777777" w:rsidR="000000E7" w:rsidRPr="000000E7" w:rsidRDefault="000000E7" w:rsidP="000000E7">
      <w:pPr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77B82D7A" w14:textId="77777777" w:rsidR="000000E7" w:rsidRPr="00CB0AFE" w:rsidRDefault="000000E7" w:rsidP="000000E7">
      <w:pPr>
        <w:pStyle w:val="Akapitzlist"/>
        <w:spacing w:after="0" w:line="240" w:lineRule="auto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</w:p>
    <w:p w14:paraId="193A40C1" w14:textId="0608AF86" w:rsidR="00A8692E" w:rsidRPr="000000E7" w:rsidRDefault="000000E7" w:rsidP="00757AB1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0000E7">
        <w:rPr>
          <w:rFonts w:ascii="Calibri" w:hAnsi="Calibri" w:cs="Calibri"/>
          <w:b/>
          <w:bCs/>
          <w:sz w:val="28"/>
          <w:szCs w:val="28"/>
        </w:rPr>
        <w:t>Przyłączanie w oparciu o elastyczne umowy o przyłączenie do sieci na</w:t>
      </w:r>
      <w:r w:rsidR="00757AB1">
        <w:rPr>
          <w:rFonts w:ascii="Calibri" w:hAnsi="Calibri" w:cs="Calibri"/>
          <w:b/>
          <w:bCs/>
          <w:sz w:val="28"/>
          <w:szCs w:val="28"/>
        </w:rPr>
        <w:t> </w:t>
      </w:r>
      <w:r w:rsidRPr="000000E7">
        <w:rPr>
          <w:rFonts w:ascii="Calibri" w:hAnsi="Calibri" w:cs="Calibri"/>
          <w:b/>
          <w:bCs/>
          <w:sz w:val="28"/>
          <w:szCs w:val="28"/>
        </w:rPr>
        <w:t>obszarach z ograniczeniami przesyłowymi:</w:t>
      </w:r>
    </w:p>
    <w:p w14:paraId="79A2183F" w14:textId="0FA46B21" w:rsidR="000000E7" w:rsidRDefault="000000E7" w:rsidP="000000E7">
      <w:pPr>
        <w:jc w:val="both"/>
      </w:pPr>
      <w:r>
        <w:t>Na obszarach sieci, na których zidentyfikowano ograniczenia przesyłowe (niewystarczającą przepustowość w standardowym trybie przyłączenia), OSD dopuszcza możliwość zawarcia elastycznej umowy o przyłączenie do sieci, umożliwiającej przyłączenie podmiotu z</w:t>
      </w:r>
      <w:r w:rsidR="00990CBE">
        <w:t> </w:t>
      </w:r>
      <w:r>
        <w:t>zastosowaniem warunków ograniczających pobór lub oddawanie mocy do sieci w określonych okresach lub do określonego poziomu, zamiast odmowy wydania warunków przyłączenia:</w:t>
      </w:r>
    </w:p>
    <w:p w14:paraId="65A19D85" w14:textId="2513FC82" w:rsidR="000000E7" w:rsidRDefault="000000E7" w:rsidP="000000E7">
      <w:pPr>
        <w:pStyle w:val="Akapitzlist"/>
        <w:numPr>
          <w:ilvl w:val="0"/>
          <w:numId w:val="4"/>
        </w:numPr>
        <w:jc w:val="both"/>
      </w:pPr>
      <w:r>
        <w:t>czasowe ograniczenie mocy przyłączeniowej (np. w godzinach szczytu obciążenia sieci) do poziomu wynikającego z bieżącej dostępnej przepustowości;</w:t>
      </w:r>
    </w:p>
    <w:p w14:paraId="7FD85368" w14:textId="588DDB6A" w:rsidR="000000E7" w:rsidRDefault="000000E7" w:rsidP="000000E7">
      <w:pPr>
        <w:pStyle w:val="Akapitzlist"/>
        <w:numPr>
          <w:ilvl w:val="0"/>
          <w:numId w:val="4"/>
        </w:numPr>
        <w:jc w:val="both"/>
      </w:pPr>
      <w:r>
        <w:t>możliwość zdalnego sterowania / redukcji generacji lub poboru mocy przez OSD w sytuacjach zagrożenia bezpieczeństwa pracy sieci;</w:t>
      </w:r>
    </w:p>
    <w:p w14:paraId="4209CB73" w14:textId="1A4CBC9E" w:rsidR="000000E7" w:rsidRDefault="000000E7" w:rsidP="000000E7">
      <w:pPr>
        <w:pStyle w:val="Akapitzlist"/>
        <w:numPr>
          <w:ilvl w:val="0"/>
          <w:numId w:val="4"/>
        </w:numPr>
        <w:jc w:val="both"/>
      </w:pPr>
      <w:r>
        <w:t>harmonogram dochodzenia do pełnej, docelowej mocy przyłączeniowej wraz z postępem rozbudowy/modernizacji sieci na danym obszarze;</w:t>
      </w:r>
    </w:p>
    <w:p w14:paraId="6DCAE964" w14:textId="09051D17" w:rsidR="000000E7" w:rsidRDefault="000000E7" w:rsidP="000000E7">
      <w:pPr>
        <w:pStyle w:val="Akapitzlist"/>
        <w:numPr>
          <w:ilvl w:val="0"/>
          <w:numId w:val="4"/>
        </w:numPr>
        <w:jc w:val="both"/>
      </w:pPr>
      <w:r>
        <w:t>zasady rozliczeń i ewentualnej rekompensaty związanej z ograniczeniami nałożonymi w ramach umowy elastycznej.</w:t>
      </w:r>
    </w:p>
    <w:p w14:paraId="7820E7A6" w14:textId="7606AD3A" w:rsidR="000000E7" w:rsidRPr="000000E7" w:rsidRDefault="000000E7" w:rsidP="000000E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0000E7">
        <w:rPr>
          <w:rFonts w:ascii="Calibri" w:hAnsi="Calibri" w:cs="Calibri"/>
          <w:b/>
          <w:bCs/>
          <w:sz w:val="28"/>
          <w:szCs w:val="28"/>
        </w:rPr>
        <w:t>Kontakt:</w:t>
      </w:r>
    </w:p>
    <w:p w14:paraId="42C5CEE9" w14:textId="2C5DBA7D" w:rsidR="000000E7" w:rsidRDefault="000000E7" w:rsidP="000000E7">
      <w:pPr>
        <w:jc w:val="both"/>
      </w:pPr>
      <w:r>
        <w:t>Szczegółowych informacji na temat możliwości przyłączenia, w tym elastycznych umów o przyłączenie do sieci, można uzyskać:</w:t>
      </w:r>
    </w:p>
    <w:p w14:paraId="703B1A96" w14:textId="3A073BA4" w:rsidR="000000E7" w:rsidRDefault="000000E7" w:rsidP="000000E7">
      <w:pPr>
        <w:pStyle w:val="Akapitzlist"/>
        <w:numPr>
          <w:ilvl w:val="0"/>
          <w:numId w:val="3"/>
        </w:numPr>
        <w:jc w:val="both"/>
      </w:pPr>
      <w:r>
        <w:t xml:space="preserve">e-mail: </w:t>
      </w:r>
      <w:hyperlink r:id="rId9" w:history="1">
        <w:r w:rsidR="00355F85" w:rsidRPr="00542ACC">
          <w:rPr>
            <w:rStyle w:val="Hipercze"/>
          </w:rPr>
          <w:t>sekretariat@biogal.pl</w:t>
        </w:r>
      </w:hyperlink>
    </w:p>
    <w:p w14:paraId="3D0A14DB" w14:textId="0DE44CFF" w:rsidR="000000E7" w:rsidRDefault="000000E7" w:rsidP="000000E7">
      <w:pPr>
        <w:pStyle w:val="Akapitzlist"/>
        <w:numPr>
          <w:ilvl w:val="0"/>
          <w:numId w:val="3"/>
        </w:numPr>
        <w:jc w:val="both"/>
      </w:pPr>
      <w:r>
        <w:t xml:space="preserve">nr telefonu: </w:t>
      </w:r>
      <w:r w:rsidR="00355F85" w:rsidRPr="00355F85">
        <w:t>+48 667 882 907</w:t>
      </w:r>
    </w:p>
    <w:sectPr w:rsidR="000000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6252E"/>
    <w:multiLevelType w:val="hybridMultilevel"/>
    <w:tmpl w:val="14D8E2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E3948"/>
    <w:multiLevelType w:val="hybridMultilevel"/>
    <w:tmpl w:val="7FBE0A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D4E4F"/>
    <w:multiLevelType w:val="hybridMultilevel"/>
    <w:tmpl w:val="1C16C2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25272E"/>
    <w:multiLevelType w:val="multilevel"/>
    <w:tmpl w:val="99A4C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5125366">
    <w:abstractNumId w:val="3"/>
  </w:num>
  <w:num w:numId="2" w16cid:durableId="193494952">
    <w:abstractNumId w:val="2"/>
  </w:num>
  <w:num w:numId="3" w16cid:durableId="945620432">
    <w:abstractNumId w:val="1"/>
  </w:num>
  <w:num w:numId="4" w16cid:durableId="1393194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2E"/>
    <w:rsid w:val="000000E7"/>
    <w:rsid w:val="000701F3"/>
    <w:rsid w:val="00102F32"/>
    <w:rsid w:val="00136E49"/>
    <w:rsid w:val="002136C8"/>
    <w:rsid w:val="002473F8"/>
    <w:rsid w:val="00280A65"/>
    <w:rsid w:val="00284B4D"/>
    <w:rsid w:val="00355F85"/>
    <w:rsid w:val="003C246F"/>
    <w:rsid w:val="004C19C4"/>
    <w:rsid w:val="004E68EF"/>
    <w:rsid w:val="004F62C8"/>
    <w:rsid w:val="00501615"/>
    <w:rsid w:val="00531693"/>
    <w:rsid w:val="005A4E2C"/>
    <w:rsid w:val="006C6396"/>
    <w:rsid w:val="00731FDD"/>
    <w:rsid w:val="00755951"/>
    <w:rsid w:val="00757AB1"/>
    <w:rsid w:val="00767F79"/>
    <w:rsid w:val="00772439"/>
    <w:rsid w:val="007C3F50"/>
    <w:rsid w:val="009238F3"/>
    <w:rsid w:val="00990CBE"/>
    <w:rsid w:val="00A13DE8"/>
    <w:rsid w:val="00A84AA2"/>
    <w:rsid w:val="00A8692E"/>
    <w:rsid w:val="00B77988"/>
    <w:rsid w:val="00B85199"/>
    <w:rsid w:val="00CB0AFE"/>
    <w:rsid w:val="00EA7845"/>
    <w:rsid w:val="00EC0821"/>
    <w:rsid w:val="00F023A3"/>
    <w:rsid w:val="00F57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36288"/>
  <w15:chartTrackingRefBased/>
  <w15:docId w15:val="{4CF4CACD-8900-4D6B-9CE5-9996DAD5C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6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6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6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6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6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6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6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6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6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6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6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6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69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69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69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69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69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69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6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6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6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6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6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69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69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69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6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69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692E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C246F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473F8"/>
    <w:rPr>
      <w:color w:val="605E5C"/>
      <w:shd w:val="clear" w:color="auto" w:fill="E1DFDD"/>
    </w:rPr>
  </w:style>
  <w:style w:type="paragraph" w:customStyle="1" w:styleId="Default">
    <w:name w:val="Default"/>
    <w:rsid w:val="004C19C4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ystrybucja.biogal.p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ekretariat@biogal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8e98c3-3c16-446c-a7da-649d245ab4bf" xsi:nil="true"/>
    <lcf76f155ced4ddcb4097134ff3c332f xmlns="ff0f4f8c-4119-4ba9-968c-5ea7e0eaec8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628246BCC1E14399DB59A233E318FD" ma:contentTypeVersion="15" ma:contentTypeDescription="Utwórz nowy dokument." ma:contentTypeScope="" ma:versionID="38f6a2dbd2864fb0b98d46f2ca505496">
  <xsd:schema xmlns:xsd="http://www.w3.org/2001/XMLSchema" xmlns:xs="http://www.w3.org/2001/XMLSchema" xmlns:p="http://schemas.microsoft.com/office/2006/metadata/properties" xmlns:ns2="ff0f4f8c-4119-4ba9-968c-5ea7e0eaec8d" xmlns:ns3="bf8e98c3-3c16-446c-a7da-649d245ab4bf" targetNamespace="http://schemas.microsoft.com/office/2006/metadata/properties" ma:root="true" ma:fieldsID="9861af7d2bdd91d837aba2e7309249bb" ns2:_="" ns3:_="">
    <xsd:import namespace="ff0f4f8c-4119-4ba9-968c-5ea7e0eaec8d"/>
    <xsd:import namespace="bf8e98c3-3c16-446c-a7da-649d245ab4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f4f8c-4119-4ba9-968c-5ea7e0eaec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27a75b1f-6f88-468f-af06-f83d32add62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e98c3-3c16-446c-a7da-649d245ab4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d6737f8-0519-4eb7-890b-96d9d816b451}" ma:internalName="TaxCatchAll" ma:showField="CatchAllData" ma:web="bf8e98c3-3c16-446c-a7da-649d245ab4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44D04C6-B4E7-4376-A8B6-8E812E8F9381}">
  <ds:schemaRefs>
    <ds:schemaRef ds:uri="http://schemas.microsoft.com/office/2006/metadata/properties"/>
    <ds:schemaRef ds:uri="http://schemas.microsoft.com/office/infopath/2007/PartnerControls"/>
    <ds:schemaRef ds:uri="bf8e98c3-3c16-446c-a7da-649d245ab4bf"/>
    <ds:schemaRef ds:uri="ff0f4f8c-4119-4ba9-968c-5ea7e0eaec8d"/>
  </ds:schemaRefs>
</ds:datastoreItem>
</file>

<file path=customXml/itemProps2.xml><?xml version="1.0" encoding="utf-8"?>
<ds:datastoreItem xmlns:ds="http://schemas.openxmlformats.org/officeDocument/2006/customXml" ds:itemID="{1216EA48-0298-45BB-A027-6AFD691BB9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f4f8c-4119-4ba9-968c-5ea7e0eaec8d"/>
    <ds:schemaRef ds:uri="bf8e98c3-3c16-446c-a7da-649d245ab4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35A7EE-D2BC-4E48-BB4F-D6B6EBD7BB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Kamiński</dc:creator>
  <cp:keywords/>
  <dc:description/>
  <cp:lastModifiedBy>Marek Kamiński</cp:lastModifiedBy>
  <cp:revision>36</cp:revision>
  <dcterms:created xsi:type="dcterms:W3CDTF">2026-08-24T12:41:00Z</dcterms:created>
  <dcterms:modified xsi:type="dcterms:W3CDTF">2026-09-08T13:04:00Z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0x0101008F628246BCC1E14399DB59A233E318FD</vt:lpwstr>
  </property>
  <property fmtid="{D5CDD505-2E9C-101B-9397-08002B2CF9AE}" pid="3" name="MediaServiceImageTags">
    <vt:lpwstr/>
  </property>
</Properties>
</file>